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C83" w:rsidRDefault="008B0C83"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OLE_LINK1"/>
      <w:r>
        <w:rPr>
          <w:rFonts w:ascii="方正小标宋简体" w:eastAsia="方正小标宋简体" w:hint="eastAsia"/>
          <w:sz w:val="44"/>
          <w:szCs w:val="44"/>
        </w:rPr>
        <w:t>共青团四川省委</w:t>
      </w:r>
    </w:p>
    <w:p w:rsidR="008B0C83" w:rsidRDefault="008B0C83"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关于实施乡村振兴青春建功行动的意见</w:t>
      </w:r>
    </w:p>
    <w:p w:rsidR="008B0C83" w:rsidRDefault="008B0C83">
      <w:pPr>
        <w:spacing w:line="560" w:lineRule="exact"/>
        <w:jc w:val="center"/>
        <w:rPr>
          <w:rFonts w:ascii="楷体_GB2312" w:eastAsia="楷体_GB2312"/>
          <w:color w:val="FF0000"/>
          <w:sz w:val="32"/>
          <w:szCs w:val="32"/>
        </w:rPr>
      </w:pPr>
    </w:p>
    <w:p w:rsidR="008B0C83" w:rsidRDefault="008B0C83" w:rsidP="00CA6374">
      <w:pPr>
        <w:spacing w:line="560" w:lineRule="exact"/>
        <w:ind w:firstLineChars="200" w:firstLine="3168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为深入学习贯彻习近平新时代中国特色社会主义思想，团结带领全省广大团员青年投身乡村振兴战略，推动四川由农业大省向农业强省跨越，现就全省共青团围绕中心、服务大局，实施乡村振兴青春建功行动制定如下意见。</w:t>
      </w:r>
    </w:p>
    <w:p w:rsidR="008B0C83" w:rsidRDefault="008B0C83">
      <w:pPr>
        <w:spacing w:line="560" w:lineRule="exac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一、指导思想</w:t>
      </w:r>
    </w:p>
    <w:p w:rsidR="008B0C83" w:rsidRDefault="008B0C83">
      <w:pPr>
        <w:spacing w:line="560" w:lineRule="exact"/>
        <w:ind w:firstLine="64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以习近平新时代中国特色社会主义思想为指导，全面贯彻党中央和省委、省政府关于推进乡村振兴战略的各项工作部署，深入落实《乡村振兴促进法》、《中国共产党农村工作条例》等法律法规，按照“产业兴旺、生态宜居、乡风文明、治理有效、生活富裕”总要求，围绕促进乡村产业振兴、人才振兴、文化振兴、生态振兴、组织振兴，充分发挥各级共青团组织化、社会化动员优势，团结引领全省广大团员青年践行“请党放心，强国有我”的庄严承诺，积极投身</w:t>
      </w:r>
      <w:r>
        <w:rPr>
          <w:rFonts w:ascii="仿宋_GB2312" w:eastAsia="仿宋_GB2312" w:hint="eastAsia"/>
          <w:sz w:val="32"/>
          <w:szCs w:val="32"/>
        </w:rPr>
        <w:t>巩固拓展脱贫攻坚成果</w:t>
      </w:r>
      <w:r>
        <w:rPr>
          <w:rFonts w:ascii="仿宋_GB2312" w:eastAsia="仿宋_GB2312" w:hint="eastAsia"/>
          <w:bCs/>
          <w:sz w:val="32"/>
          <w:szCs w:val="32"/>
        </w:rPr>
        <w:t>、全面推进乡村振兴、加快农业农村现代化各项工作，为促进农业高质高效、乡村宜居宜业、农民富裕富足，全面建设社会主义现代化四川贡献青春力量。</w:t>
      </w:r>
    </w:p>
    <w:p w:rsidR="008B0C83" w:rsidRDefault="008B0C83" w:rsidP="00CA6374">
      <w:pPr>
        <w:spacing w:line="560" w:lineRule="exact"/>
        <w:ind w:firstLineChars="200" w:firstLine="31680"/>
        <w:jc w:val="lef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二、工作原则</w:t>
      </w:r>
    </w:p>
    <w:p w:rsidR="008B0C83" w:rsidRDefault="008B0C83" w:rsidP="00CA6374">
      <w:pPr>
        <w:spacing w:line="560" w:lineRule="exact"/>
        <w:ind w:firstLineChars="200" w:firstLine="31680"/>
        <w:jc w:val="left"/>
        <w:rPr>
          <w:rFonts w:ascii="仿宋_GB2312" w:eastAsia="仿宋_GB2312"/>
          <w:bCs/>
          <w:color w:val="FF0000"/>
          <w:sz w:val="32"/>
          <w:szCs w:val="32"/>
        </w:rPr>
      </w:pPr>
      <w:r>
        <w:rPr>
          <w:rFonts w:ascii="楷体_GB2312" w:eastAsia="楷体_GB2312" w:hint="eastAsia"/>
          <w:bCs/>
          <w:sz w:val="32"/>
          <w:szCs w:val="32"/>
        </w:rPr>
        <w:t>坚持围绕中心服务大局。</w:t>
      </w:r>
      <w:r>
        <w:rPr>
          <w:rFonts w:ascii="仿宋_GB2312" w:eastAsia="仿宋_GB2312" w:hint="eastAsia"/>
          <w:bCs/>
          <w:sz w:val="32"/>
          <w:szCs w:val="32"/>
        </w:rPr>
        <w:t>紧紧围绕中央和省委工作部署，把服务农业农村优先发展、助力全面推进乡村振兴作为共青团农村工作的出发点和立足点，狠抓组织建设、资源整合、政策支持、平台搭建和人才凝聚，体现服务中心大局的贡献度。</w:t>
      </w:r>
    </w:p>
    <w:p w:rsidR="008B0C83" w:rsidRDefault="008B0C83" w:rsidP="00CA6374">
      <w:pPr>
        <w:spacing w:line="560" w:lineRule="exact"/>
        <w:ind w:firstLineChars="200" w:firstLine="3168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ascii="楷体_GB2312" w:eastAsia="楷体_GB2312" w:hint="eastAsia"/>
          <w:bCs/>
          <w:sz w:val="32"/>
          <w:szCs w:val="32"/>
        </w:rPr>
        <w:t>坚持遵循规律因地制宜。</w:t>
      </w:r>
      <w:r>
        <w:rPr>
          <w:rFonts w:ascii="仿宋_GB2312" w:eastAsia="仿宋_GB2312" w:hint="eastAsia"/>
          <w:bCs/>
          <w:sz w:val="32"/>
          <w:szCs w:val="32"/>
        </w:rPr>
        <w:t>牢牢把握乡村发展基本规律和新时代“三农”工作根本遵循，从各地发展实际出发，因地制宜、科学谋划、精准施策，不断增强各级共青团组织助力乡村振兴的针对性和实效性。</w:t>
      </w:r>
    </w:p>
    <w:p w:rsidR="008B0C83" w:rsidRDefault="008B0C83" w:rsidP="00CA6374">
      <w:pPr>
        <w:spacing w:line="560" w:lineRule="exact"/>
        <w:ind w:firstLineChars="200" w:firstLine="3168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ascii="楷体_GB2312" w:eastAsia="楷体_GB2312" w:hint="eastAsia"/>
          <w:bCs/>
          <w:sz w:val="32"/>
          <w:szCs w:val="32"/>
        </w:rPr>
        <w:t>坚持能为可为突出重点。</w:t>
      </w:r>
      <w:r>
        <w:rPr>
          <w:rFonts w:ascii="仿宋_GB2312" w:eastAsia="仿宋_GB2312" w:hint="eastAsia"/>
          <w:bCs/>
          <w:sz w:val="32"/>
          <w:szCs w:val="32"/>
        </w:rPr>
        <w:t>聚焦共青团主责主业，发挥育人优势，着力强化青少年思想引领、深化乡村基层团组织建设、培育“三农”领域优秀青年人才、打造乡村领域志愿服务品牌等方面工作，打造符合时代要求、体现地方特色的工作品牌。</w:t>
      </w:r>
    </w:p>
    <w:p w:rsidR="008B0C83" w:rsidRDefault="008B0C83" w:rsidP="00CA6374">
      <w:pPr>
        <w:spacing w:line="560" w:lineRule="exact"/>
        <w:ind w:firstLineChars="200" w:firstLine="31680"/>
        <w:jc w:val="left"/>
        <w:rPr>
          <w:rFonts w:ascii="仿宋_GB2312" w:eastAsia="仿宋_GB2312" w:hAnsi="楷体"/>
          <w:sz w:val="32"/>
          <w:szCs w:val="32"/>
        </w:rPr>
      </w:pPr>
      <w:r>
        <w:rPr>
          <w:rFonts w:ascii="楷体_GB2312" w:eastAsia="楷体_GB2312" w:hint="eastAsia"/>
          <w:bCs/>
          <w:sz w:val="32"/>
          <w:szCs w:val="32"/>
        </w:rPr>
        <w:t>坚持统筹联动形成合力。</w:t>
      </w:r>
      <w:r>
        <w:rPr>
          <w:rFonts w:ascii="仿宋_GB2312" w:eastAsia="仿宋_GB2312" w:hint="eastAsia"/>
          <w:bCs/>
          <w:sz w:val="32"/>
          <w:szCs w:val="32"/>
        </w:rPr>
        <w:t>坚持高位推动、整体联动，加大组织化动员力度，形成职责明确、协调有力、运转高效、充满活力的全省共青团一盘棋工作格局，不断提升协同能力和工作合力。</w:t>
      </w:r>
    </w:p>
    <w:p w:rsidR="008B0C83" w:rsidRDefault="008B0C83" w:rsidP="00CA6374">
      <w:pPr>
        <w:spacing w:line="560" w:lineRule="exact"/>
        <w:ind w:firstLineChars="200" w:firstLine="31680"/>
        <w:jc w:val="lef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三、工作举措</w:t>
      </w:r>
    </w:p>
    <w:p w:rsidR="008B0C83" w:rsidRDefault="008B0C83" w:rsidP="00CA6374">
      <w:pPr>
        <w:spacing w:line="560" w:lineRule="exact"/>
        <w:ind w:firstLineChars="200" w:firstLine="31680"/>
        <w:jc w:val="left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（一）全面加强基层团组织建设</w:t>
      </w:r>
    </w:p>
    <w:p w:rsidR="008B0C83" w:rsidRDefault="008B0C83" w:rsidP="00CA6374">
      <w:pPr>
        <w:spacing w:line="560" w:lineRule="exact"/>
        <w:ind w:firstLineChars="200" w:firstLine="3168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ascii="华文楷体" w:eastAsia="华文楷体" w:hAnsi="华文楷体" w:cs="华文楷体" w:hint="eastAsia"/>
          <w:b/>
          <w:bCs/>
          <w:sz w:val="32"/>
          <w:szCs w:val="32"/>
        </w:rPr>
        <w:t>扩大组织覆盖。</w:t>
      </w:r>
      <w:r>
        <w:rPr>
          <w:rFonts w:ascii="仿宋_GB2312" w:eastAsia="仿宋_GB2312" w:hint="eastAsia"/>
          <w:bCs/>
          <w:sz w:val="32"/>
          <w:szCs w:val="32"/>
        </w:rPr>
        <w:t>持续巩固和扩大村（社区）团组织换届和农业园区团建“百日攻坚”工作成果，在不断健全传统乡村团组织体系的基础上，主动适应青年回流并向产业聚集的趋势，积极探索乡村经济组织建团、产业链建团等新模式，夯实乡村团建基础。</w:t>
      </w:r>
      <w:r>
        <w:rPr>
          <w:rFonts w:ascii="华文楷体" w:eastAsia="华文楷体" w:hAnsi="华文楷体" w:cs="华文楷体" w:hint="eastAsia"/>
          <w:b/>
          <w:bCs/>
          <w:sz w:val="32"/>
          <w:szCs w:val="32"/>
        </w:rPr>
        <w:t>加强队伍建设。</w:t>
      </w:r>
      <w:r>
        <w:rPr>
          <w:rFonts w:ascii="仿宋_GB2312" w:eastAsia="仿宋_GB2312" w:hint="eastAsia"/>
          <w:bCs/>
          <w:sz w:val="32"/>
          <w:szCs w:val="32"/>
        </w:rPr>
        <w:t>紧跟乡镇（街道）党组织换届步伐，同步推动团组织换届工作，特别是要推动乡镇（街道）党组织明确专人负责团的工作，通过专、兼职等方式优化结构，确保通过换届选出好干部、配出好班子、换出好面貌。</w:t>
      </w:r>
      <w:r>
        <w:rPr>
          <w:rFonts w:ascii="华文楷体" w:eastAsia="华文楷体" w:hAnsi="华文楷体" w:cs="华文楷体" w:hint="eastAsia"/>
          <w:b/>
          <w:bCs/>
          <w:sz w:val="32"/>
          <w:szCs w:val="32"/>
        </w:rPr>
        <w:t>激发工作活力。</w:t>
      </w:r>
      <w:r>
        <w:rPr>
          <w:rFonts w:ascii="仿宋_GB2312" w:eastAsia="仿宋_GB2312" w:hint="eastAsia"/>
          <w:bCs/>
          <w:sz w:val="32"/>
          <w:szCs w:val="32"/>
        </w:rPr>
        <w:t>按照在乡镇行政区划和村级建制调整改革“后半篇”文章中加强基层团组织建设的相关要求，优化基层团组织工作设计，突出服务乡村振兴这一工作重点，建立健全工作成效评价机制。完善返乡大学生向居住地所在乡镇（街道）团组织报到工作制度，选树乡村振兴青年典型，营造青年投身乡村振兴的浓厚氛围。</w:t>
      </w:r>
    </w:p>
    <w:p w:rsidR="008B0C83" w:rsidRDefault="008B0C83" w:rsidP="00CA6374">
      <w:pPr>
        <w:spacing w:line="560" w:lineRule="exact"/>
        <w:ind w:firstLineChars="200" w:firstLine="31680"/>
        <w:jc w:val="left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（二）大力培养乡村青年人才</w:t>
      </w:r>
    </w:p>
    <w:p w:rsidR="008B0C83" w:rsidRDefault="008B0C83" w:rsidP="00CA6374">
      <w:pPr>
        <w:spacing w:line="560" w:lineRule="exact"/>
        <w:ind w:firstLineChars="200" w:firstLine="3168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ascii="华文楷体" w:eastAsia="华文楷体" w:hAnsi="华文楷体" w:cs="华文楷体" w:hint="eastAsia"/>
          <w:b/>
          <w:sz w:val="32"/>
          <w:szCs w:val="32"/>
        </w:rPr>
        <w:t>培育本土人才兴乡。</w:t>
      </w:r>
      <w:r>
        <w:rPr>
          <w:rFonts w:ascii="仿宋_GB2312" w:eastAsia="仿宋_GB2312" w:hint="eastAsia"/>
          <w:bCs/>
          <w:sz w:val="32"/>
          <w:szCs w:val="32"/>
        </w:rPr>
        <w:t>实施农业农村领域青年马克思主义者培养工程，培养一批讲政治、懂农业、爱农村、爱农民青年骨干队伍。组织现代农业科技、经营管理技能等培训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，培养一批</w:t>
      </w:r>
      <w:r>
        <w:rPr>
          <w:rFonts w:ascii="仿宋_GB2312" w:eastAsia="仿宋_GB2312" w:hint="eastAsia"/>
          <w:bCs/>
          <w:sz w:val="32"/>
          <w:szCs w:val="32"/>
        </w:rPr>
        <w:t>现代青年农场主和新型青年职业农民；广泛联系青年乡村工匠、公共服务及乡村治理人才，推动</w:t>
      </w:r>
      <w:r>
        <w:rPr>
          <w:rFonts w:ascii="仿宋_GB2312" w:eastAsia="仿宋_GB2312" w:hAnsi="Times New Roman" w:cs="仿宋_GB2312" w:hint="eastAsia"/>
          <w:bCs/>
          <w:kern w:val="0"/>
          <w:sz w:val="32"/>
          <w:szCs w:val="32"/>
        </w:rPr>
        <w:t>市、县</w:t>
      </w:r>
      <w:r>
        <w:rPr>
          <w:rFonts w:ascii="仿宋_GB2312" w:eastAsia="仿宋_GB2312" w:hint="eastAsia"/>
          <w:bCs/>
          <w:sz w:val="32"/>
          <w:szCs w:val="32"/>
        </w:rPr>
        <w:t>两级团组织建立乡村振兴青年人才库。</w:t>
      </w:r>
      <w:r>
        <w:rPr>
          <w:rFonts w:ascii="华文楷体" w:eastAsia="华文楷体" w:hAnsi="华文楷体" w:cs="华文楷体" w:hint="eastAsia"/>
          <w:b/>
          <w:sz w:val="32"/>
          <w:szCs w:val="32"/>
        </w:rPr>
        <w:t>服务在外人才返乡。</w:t>
      </w:r>
      <w:r>
        <w:rPr>
          <w:rFonts w:ascii="仿宋_GB2312" w:eastAsia="仿宋_GB2312" w:hint="eastAsia"/>
          <w:bCs/>
          <w:sz w:val="32"/>
          <w:szCs w:val="32"/>
        </w:rPr>
        <w:t>依托各级驻外团组织畅通外出务工青年返乡就业创业渠道，开展政策宣讲、岗位对接、项目帮扶，支持更多外出务工青年返乡发展。畅通在外高校学子与家乡团组织联系的制度化渠道，有序组织高校学生党员、团员回乡兼任团干部，搭建在外学子返乡发展平台。</w:t>
      </w:r>
      <w:r>
        <w:rPr>
          <w:rFonts w:ascii="华文楷体" w:eastAsia="华文楷体" w:hAnsi="华文楷体" w:cs="华文楷体" w:hint="eastAsia"/>
          <w:b/>
          <w:sz w:val="32"/>
          <w:szCs w:val="32"/>
        </w:rPr>
        <w:t>动员社会人才下乡。</w:t>
      </w:r>
      <w:r>
        <w:rPr>
          <w:rFonts w:ascii="仿宋_GB2312" w:eastAsia="仿宋_GB2312" w:hint="eastAsia"/>
          <w:bCs/>
          <w:sz w:val="32"/>
          <w:szCs w:val="32"/>
        </w:rPr>
        <w:t>深入实施大学生志愿服务西部计划，持续开展大中专学生志愿者暑期文化科技卫生“三下乡”社会实践活动，推动校地、企地合作，建设乡村振兴社会实践基地，促进农业科技成果转化。</w:t>
      </w:r>
    </w:p>
    <w:p w:rsidR="008B0C83" w:rsidRDefault="008B0C83" w:rsidP="00CA6374">
      <w:pPr>
        <w:spacing w:line="560" w:lineRule="exact"/>
        <w:ind w:firstLineChars="200" w:firstLine="31680"/>
        <w:jc w:val="left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（三）持续强化青年创业帮扶</w:t>
      </w:r>
    </w:p>
    <w:p w:rsidR="008B0C83" w:rsidRDefault="008B0C83" w:rsidP="00CA6374">
      <w:pPr>
        <w:spacing w:line="560" w:lineRule="exact"/>
        <w:ind w:firstLineChars="200" w:firstLine="3168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ascii="华文楷体" w:eastAsia="华文楷体" w:hAnsi="华文楷体" w:cs="华文楷体" w:hint="eastAsia"/>
          <w:b/>
          <w:sz w:val="32"/>
          <w:szCs w:val="32"/>
        </w:rPr>
        <w:t>完善创业组织体系。</w:t>
      </w:r>
      <w:r>
        <w:rPr>
          <w:rFonts w:ascii="仿宋_GB2312" w:eastAsia="仿宋_GB2312" w:hint="eastAsia"/>
          <w:bCs/>
          <w:sz w:val="32"/>
          <w:szCs w:val="32"/>
        </w:rPr>
        <w:t>在全省县域全覆盖建立青年创业组织或联盟，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>联合当地高校、农技站、涉农企业等建立创业导师团队，常态化开展培训实训、创业交流、资源对接等活动。协同农业、商务等部门，探索建立联合服务创业青年工作机制，开展政策解读、技术培训、资源对接等服务。</w:t>
      </w:r>
      <w:r>
        <w:rPr>
          <w:rFonts w:ascii="华文楷体" w:eastAsia="华文楷体" w:hAnsi="华文楷体" w:cs="华文楷体" w:hint="eastAsia"/>
          <w:b/>
          <w:sz w:val="32"/>
          <w:szCs w:val="32"/>
        </w:rPr>
        <w:t>培育产业人才队伍。</w:t>
      </w:r>
      <w:r>
        <w:rPr>
          <w:rFonts w:ascii="仿宋_GB2312" w:eastAsia="仿宋_GB2312" w:hAnsi="Times New Roman" w:cs="仿宋_GB2312" w:hint="eastAsia"/>
          <w:bCs/>
          <w:kern w:val="0"/>
          <w:sz w:val="32"/>
          <w:szCs w:val="32"/>
        </w:rPr>
        <w:t>以培养乡村青年人才梯队为导向，以政策扶持、创业指导、技能培训为重点，深入实施农村青年电商培育工程和“乡村伙伴计划”农村青年人才振兴工程，举办乡村振兴青年创新创业大赛，培育有文化、懂技术、善经营、会管理的青年创新创业带头人。</w:t>
      </w:r>
      <w:r>
        <w:rPr>
          <w:rFonts w:ascii="华文楷体" w:eastAsia="华文楷体" w:hAnsi="华文楷体" w:cs="华文楷体" w:hint="eastAsia"/>
          <w:b/>
          <w:sz w:val="32"/>
          <w:szCs w:val="32"/>
        </w:rPr>
        <w:t>深化创业金融扶持。</w:t>
      </w:r>
      <w:r>
        <w:rPr>
          <w:rFonts w:ascii="仿宋_GB2312" w:eastAsia="仿宋_GB2312" w:hint="eastAsia"/>
          <w:bCs/>
          <w:sz w:val="32"/>
          <w:szCs w:val="32"/>
        </w:rPr>
        <w:t>设立“青创计划乡村振兴专项”，广泛招募农业领域创业导师，为创业青年提供启动资金和创业</w:t>
      </w:r>
      <w:r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辅导</w:t>
      </w:r>
      <w:r>
        <w:rPr>
          <w:rFonts w:ascii="仿宋_GB2312" w:eastAsia="仿宋_GB2312" w:hint="eastAsia"/>
          <w:bCs/>
          <w:sz w:val="32"/>
          <w:szCs w:val="32"/>
        </w:rPr>
        <w:t>。联合农信社、四川银行等金融机构，深入推进“蜀青振兴贷”“蜀青创业贷”等项目，切实解决涉农创业青年融资难、融资贵问题。</w:t>
      </w:r>
    </w:p>
    <w:p w:rsidR="008B0C83" w:rsidRDefault="008B0C83" w:rsidP="00CA6374">
      <w:pPr>
        <w:spacing w:line="560" w:lineRule="exact"/>
        <w:ind w:firstLineChars="200" w:firstLine="31680"/>
        <w:jc w:val="left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（四）深入推进青年志愿服务</w:t>
      </w:r>
    </w:p>
    <w:p w:rsidR="008B0C83" w:rsidRDefault="008B0C83" w:rsidP="00CA6374">
      <w:pPr>
        <w:spacing w:line="560" w:lineRule="exact"/>
        <w:ind w:firstLineChars="200" w:firstLine="31680"/>
        <w:rPr>
          <w:rFonts w:ascii="仿宋_GB2312" w:eastAsia="仿宋_GB2312"/>
          <w:bCs/>
          <w:sz w:val="32"/>
          <w:szCs w:val="32"/>
        </w:rPr>
      </w:pPr>
      <w:r>
        <w:rPr>
          <w:rFonts w:ascii="华文楷体" w:eastAsia="华文楷体" w:hAnsi="华文楷体" w:cs="华文楷体" w:hint="eastAsia"/>
          <w:b/>
          <w:sz w:val="32"/>
          <w:szCs w:val="32"/>
        </w:rPr>
        <w:t>健全工作体系。</w:t>
      </w:r>
      <w:r>
        <w:rPr>
          <w:rFonts w:ascii="仿宋_GB2312" w:eastAsia="仿宋_GB2312" w:hint="eastAsia"/>
          <w:bCs/>
          <w:sz w:val="32"/>
          <w:szCs w:val="32"/>
        </w:rPr>
        <w:t>强化县、乡两级志愿服务组织建设，实现全省每个县（市、区）建立青年志愿者协会，每个乡镇建立一支不少于</w:t>
      </w:r>
      <w:r>
        <w:rPr>
          <w:rFonts w:ascii="仿宋_GB2312" w:eastAsia="仿宋_GB2312"/>
          <w:bCs/>
          <w:sz w:val="32"/>
          <w:szCs w:val="32"/>
        </w:rPr>
        <w:t>10</w:t>
      </w:r>
      <w:r>
        <w:rPr>
          <w:rFonts w:ascii="仿宋_GB2312" w:eastAsia="仿宋_GB2312" w:hint="eastAsia"/>
          <w:bCs/>
          <w:sz w:val="32"/>
          <w:szCs w:val="32"/>
        </w:rPr>
        <w:t>人的青年志愿服务队。整合辖区内机关、企事业单位、学校等各方面力量，分门别类建立专业、规范的志愿服务队伍。</w:t>
      </w:r>
      <w:r>
        <w:rPr>
          <w:rFonts w:ascii="华文楷体" w:eastAsia="华文楷体" w:hAnsi="华文楷体" w:cs="华文楷体" w:hint="eastAsia"/>
          <w:b/>
          <w:sz w:val="32"/>
          <w:szCs w:val="32"/>
        </w:rPr>
        <w:t>擦亮工作品牌。</w:t>
      </w:r>
      <w:r>
        <w:rPr>
          <w:rFonts w:ascii="仿宋_GB2312" w:eastAsia="仿宋_GB2312" w:hint="eastAsia"/>
          <w:bCs/>
          <w:sz w:val="32"/>
          <w:szCs w:val="32"/>
        </w:rPr>
        <w:t>围绕生态环保、新风倡树、医疗卫生等方面事务，广泛组织动员青年志愿者深入推动“美丽中国·青春行动”，广泛开展“青春志愿·爱在社区、靓在乡村、守护生命”系列品牌活动，充分利用志愿四川平台，发布专项志愿服务活动。</w:t>
      </w:r>
      <w:r>
        <w:rPr>
          <w:rFonts w:ascii="华文楷体" w:eastAsia="华文楷体" w:hAnsi="华文楷体" w:cs="华文楷体" w:hint="eastAsia"/>
          <w:b/>
          <w:sz w:val="32"/>
          <w:szCs w:val="32"/>
        </w:rPr>
        <w:t>弘扬志愿精神。</w:t>
      </w:r>
      <w:r>
        <w:rPr>
          <w:rFonts w:ascii="仿宋_GB2312" w:eastAsia="仿宋_GB2312" w:hint="eastAsia"/>
          <w:bCs/>
          <w:sz w:val="32"/>
          <w:szCs w:val="32"/>
        </w:rPr>
        <w:t>选树乡村青年志愿服务典型，建立志愿服务激励机制，丰富“熊猫侠”文化内涵，将“熊猫侠”</w:t>
      </w:r>
      <w:r>
        <w:rPr>
          <w:rFonts w:ascii="仿宋_GB2312" w:eastAsia="仿宋_GB2312"/>
          <w:bCs/>
          <w:sz w:val="32"/>
          <w:szCs w:val="32"/>
        </w:rPr>
        <w:t>IP</w:t>
      </w:r>
      <w:r>
        <w:rPr>
          <w:rFonts w:ascii="仿宋_GB2312" w:eastAsia="仿宋_GB2312" w:hint="eastAsia"/>
          <w:bCs/>
          <w:sz w:val="32"/>
          <w:szCs w:val="32"/>
        </w:rPr>
        <w:t>作为乡村振兴青年志愿服务文化符号，引领广大青年弘扬“奉献、友爱、互助、进步”志愿服务精神，带动更多群众参与志愿服务，引领乡村文明风尚。</w:t>
      </w:r>
    </w:p>
    <w:p w:rsidR="008B0C83" w:rsidRDefault="008B0C83" w:rsidP="00CA6374">
      <w:pPr>
        <w:spacing w:line="560" w:lineRule="exact"/>
        <w:ind w:firstLineChars="200" w:firstLine="31680"/>
        <w:jc w:val="left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（五）全面助力乡风文明提升</w:t>
      </w:r>
    </w:p>
    <w:p w:rsidR="008B0C83" w:rsidRDefault="008B0C83" w:rsidP="00CA6374">
      <w:pPr>
        <w:spacing w:line="560" w:lineRule="exact"/>
        <w:ind w:firstLineChars="200" w:firstLine="31680"/>
        <w:rPr>
          <w:rFonts w:ascii="仿宋_GB2312" w:eastAsia="仿宋_GB2312"/>
          <w:bCs/>
          <w:sz w:val="32"/>
          <w:szCs w:val="32"/>
        </w:rPr>
      </w:pPr>
      <w:r>
        <w:rPr>
          <w:rFonts w:ascii="华文楷体" w:eastAsia="华文楷体" w:hAnsi="华文楷体" w:cs="华文楷体" w:hint="eastAsia"/>
          <w:b/>
          <w:sz w:val="32"/>
          <w:szCs w:val="32"/>
        </w:rPr>
        <w:t>开展主题宣传宣讲。</w:t>
      </w:r>
      <w:r>
        <w:rPr>
          <w:rFonts w:ascii="仿宋_GB2312" w:eastAsia="仿宋_GB2312" w:hint="eastAsia"/>
          <w:bCs/>
          <w:sz w:val="32"/>
          <w:szCs w:val="32"/>
        </w:rPr>
        <w:t>结合新时代文明实践中心建设，组织全省各级青年讲师团和新时代文明实践青年宣讲分团成员，广泛开展政策宣传、科学普及、移风易俗、道德文化等宣讲活动，助力培育文明乡风、良好家风、淳朴民风。在乡村学校开展文明乡风主题团（队）日活动，让好习惯、好风气进学校、进课堂、进家庭。</w:t>
      </w:r>
      <w:r>
        <w:rPr>
          <w:rFonts w:ascii="华文楷体" w:eastAsia="华文楷体" w:hAnsi="华文楷体" w:cs="华文楷体" w:hint="eastAsia"/>
          <w:b/>
          <w:sz w:val="32"/>
          <w:szCs w:val="32"/>
        </w:rPr>
        <w:t>丰富乡村精神文化生活。</w:t>
      </w:r>
      <w:r>
        <w:rPr>
          <w:rFonts w:ascii="仿宋_GB2312" w:eastAsia="仿宋_GB2312" w:hint="eastAsia"/>
          <w:bCs/>
          <w:sz w:val="32"/>
          <w:szCs w:val="32"/>
        </w:rPr>
        <w:t>鼓励各地团组织制作乡村振兴主题歌曲、动漫、微电影等文化产品，发动基层团组织开展形式多样的群众性文体活动，组织青年文艺工作者深入农村，举办乡村青年文化艺术节等活动。</w:t>
      </w:r>
      <w:r>
        <w:rPr>
          <w:rFonts w:ascii="华文楷体" w:eastAsia="华文楷体" w:hAnsi="华文楷体" w:cs="华文楷体" w:hint="eastAsia"/>
          <w:b/>
          <w:sz w:val="32"/>
          <w:szCs w:val="32"/>
        </w:rPr>
        <w:t>助力乡村优秀文化传承。</w:t>
      </w:r>
      <w:r>
        <w:rPr>
          <w:rFonts w:ascii="仿宋_GB2312" w:eastAsia="仿宋_GB2312" w:hint="eastAsia"/>
          <w:bCs/>
          <w:sz w:val="32"/>
          <w:szCs w:val="32"/>
        </w:rPr>
        <w:t>探索建立青少年乡村文化实践体验基地，助力农业文化遗产和非物质文化遗产青年传承人培养，推动乡村特色文化振兴。积极开展主题团（队）实践体验活动，挖掘农业文化深厚内涵，传承和发展优秀传统文化。</w:t>
      </w:r>
    </w:p>
    <w:p w:rsidR="008B0C83" w:rsidRDefault="008B0C83" w:rsidP="00CA6374">
      <w:pPr>
        <w:spacing w:line="560" w:lineRule="exact"/>
        <w:ind w:firstLineChars="200" w:firstLine="31680"/>
        <w:jc w:val="left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（六）广泛协同社会力量参与</w:t>
      </w:r>
    </w:p>
    <w:p w:rsidR="008B0C83" w:rsidRDefault="008B0C83" w:rsidP="00CA6374">
      <w:pPr>
        <w:spacing w:line="560" w:lineRule="exact"/>
        <w:ind w:firstLineChars="200" w:firstLine="31680"/>
        <w:rPr>
          <w:rFonts w:ascii="仿宋_GB2312" w:eastAsia="仿宋_GB2312"/>
          <w:bCs/>
          <w:i/>
          <w:color w:val="FF0000"/>
          <w:sz w:val="32"/>
          <w:szCs w:val="32"/>
        </w:rPr>
      </w:pPr>
      <w:r>
        <w:rPr>
          <w:rFonts w:ascii="华文楷体" w:eastAsia="华文楷体" w:hAnsi="华文楷体" w:cs="华文楷体" w:hint="eastAsia"/>
          <w:b/>
          <w:bCs/>
          <w:sz w:val="32"/>
          <w:szCs w:val="32"/>
        </w:rPr>
        <w:t>充分整合社会资源。</w:t>
      </w:r>
      <w:r>
        <w:rPr>
          <w:rFonts w:ascii="仿宋_GB2312" w:eastAsia="仿宋_GB2312" w:hint="eastAsia"/>
          <w:bCs/>
          <w:sz w:val="32"/>
          <w:szCs w:val="32"/>
        </w:rPr>
        <w:t>发挥青联、青企协等组织优势，积极动员各级青联委员、青企协会员投身乡村社会建设，常态化开展重点群体关爱活动，支持巩固拓展脱贫攻坚成果同乡村振兴有效衔接。主动协同省内外公益组织，特别是加强与国字号基金会合作，大力推进招善引慈，整合更多社会资源。</w:t>
      </w:r>
      <w:r>
        <w:rPr>
          <w:rFonts w:ascii="华文楷体" w:eastAsia="华文楷体" w:hAnsi="华文楷体" w:cs="华文楷体" w:hint="eastAsia"/>
          <w:b/>
          <w:bCs/>
          <w:sz w:val="32"/>
          <w:szCs w:val="32"/>
        </w:rPr>
        <w:t>创新实施公益项目。</w:t>
      </w:r>
      <w:r>
        <w:rPr>
          <w:rFonts w:ascii="仿宋_GB2312" w:eastAsia="仿宋_GB2312" w:hint="eastAsia"/>
          <w:bCs/>
          <w:sz w:val="32"/>
          <w:szCs w:val="32"/>
        </w:rPr>
        <w:t>实施新时代希望工程，发挥青少年基金会平台作用，利用“团团筹”公益众筹平台，广泛汇聚社会爱心资源，持续建设希望小学，关爱重点青少年群体。创新开发设计“生态保护”“种植果树”等特色公益项目，引导青少年参与。</w:t>
      </w:r>
      <w:r>
        <w:rPr>
          <w:rFonts w:ascii="华文楷体" w:eastAsia="华文楷体" w:hAnsi="华文楷体" w:cs="华文楷体" w:hint="eastAsia"/>
          <w:b/>
          <w:bCs/>
          <w:sz w:val="32"/>
          <w:szCs w:val="32"/>
        </w:rPr>
        <w:t>切实关爱留守儿童。</w:t>
      </w:r>
      <w:r>
        <w:rPr>
          <w:rFonts w:ascii="仿宋_GB2312" w:eastAsia="仿宋_GB2312" w:hint="eastAsia"/>
          <w:bCs/>
          <w:sz w:val="32"/>
          <w:szCs w:val="32"/>
        </w:rPr>
        <w:t>持续推进“童伴计划”提质扩面，全面落实各项规章制度，提升项目管理能力、服务水平和社会影响力。围绕留守儿童成长发展需求，广泛动员各方面力量，精准开展亲情抚慰、学业辅导、心理疏导、感受城市等关爱服务，助力农村青少年健康成长。</w:t>
      </w:r>
    </w:p>
    <w:p w:rsidR="008B0C83" w:rsidRDefault="008B0C83" w:rsidP="00CA6374">
      <w:pPr>
        <w:spacing w:line="560" w:lineRule="exact"/>
        <w:ind w:firstLineChars="200" w:firstLine="3168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四、工作要求</w:t>
      </w:r>
    </w:p>
    <w:p w:rsidR="008B0C83" w:rsidRDefault="008B0C83" w:rsidP="00CA6374">
      <w:pPr>
        <w:spacing w:line="560" w:lineRule="exact"/>
        <w:ind w:firstLineChars="200" w:firstLine="31680"/>
        <w:rPr>
          <w:rFonts w:ascii="仿宋_GB2312" w:eastAsia="仿宋_GB2312"/>
          <w:bCs/>
          <w:sz w:val="32"/>
          <w:szCs w:val="32"/>
        </w:rPr>
      </w:pPr>
      <w:r>
        <w:rPr>
          <w:rFonts w:ascii="楷体" w:eastAsia="楷体" w:hAnsi="楷体" w:hint="eastAsia"/>
          <w:bCs/>
          <w:sz w:val="32"/>
          <w:szCs w:val="32"/>
        </w:rPr>
        <w:t>（一）加强统筹谋划，坚持整体推进。</w:t>
      </w:r>
      <w:r>
        <w:rPr>
          <w:rFonts w:ascii="仿宋_GB2312" w:eastAsia="仿宋_GB2312" w:hint="eastAsia"/>
          <w:bCs/>
          <w:sz w:val="32"/>
          <w:szCs w:val="32"/>
        </w:rPr>
        <w:t>各市（州）团委要提高政治站位，高度重视乡村振兴工作，切实加强组织领导，成立工作专班，制定具体贯彻落实措施，推动青春建功行动与各项工作的有机融合，团省委将把工作落实情况纳入年度工作评价。各地团组织务必要坚持同频共振、同心同向、步调一致，全面落实乡村振兴青春建功行动各项工作内容，形成整体工作合力。</w:t>
      </w:r>
    </w:p>
    <w:p w:rsidR="008B0C83" w:rsidRDefault="008B0C83" w:rsidP="00CA6374">
      <w:pPr>
        <w:spacing w:line="560" w:lineRule="exact"/>
        <w:ind w:firstLineChars="200" w:firstLine="31680"/>
        <w:rPr>
          <w:rFonts w:ascii="仿宋_GB2312" w:eastAsia="仿宋_GB2312"/>
          <w:bCs/>
          <w:sz w:val="32"/>
          <w:szCs w:val="32"/>
        </w:rPr>
      </w:pPr>
      <w:r>
        <w:rPr>
          <w:rFonts w:ascii="楷体" w:eastAsia="楷体" w:hAnsi="楷体" w:hint="eastAsia"/>
          <w:bCs/>
          <w:sz w:val="32"/>
          <w:szCs w:val="32"/>
        </w:rPr>
        <w:t>（二）</w:t>
      </w:r>
      <w:r>
        <w:rPr>
          <w:rFonts w:ascii="Times New Roman" w:eastAsia="楷体" w:hAnsi="Times New Roman" w:hint="eastAsia"/>
          <w:spacing w:val="-8"/>
          <w:sz w:val="32"/>
          <w:szCs w:val="32"/>
        </w:rPr>
        <w:t>注重分类施策，</w:t>
      </w:r>
      <w:r>
        <w:rPr>
          <w:rFonts w:ascii="楷体" w:eastAsia="楷体" w:hAnsi="楷体" w:hint="eastAsia"/>
          <w:bCs/>
          <w:sz w:val="32"/>
          <w:szCs w:val="32"/>
        </w:rPr>
        <w:t>鼓励务实创新</w:t>
      </w:r>
      <w:r>
        <w:rPr>
          <w:rFonts w:ascii="仿宋_GB2312" w:eastAsia="仿宋_GB2312" w:hint="eastAsia"/>
          <w:bCs/>
          <w:sz w:val="32"/>
          <w:szCs w:val="32"/>
        </w:rPr>
        <w:t>。各级团组织要紧紧围绕当地推进乡村振兴的整体部署</w:t>
      </w:r>
      <w:r>
        <w:rPr>
          <w:rFonts w:ascii="仿宋_GB2312" w:eastAsia="仿宋_GB2312"/>
          <w:bCs/>
          <w:sz w:val="32"/>
          <w:szCs w:val="32"/>
        </w:rPr>
        <w:t>,</w:t>
      </w:r>
      <w:r>
        <w:rPr>
          <w:rFonts w:ascii="仿宋_GB2312" w:eastAsia="仿宋_GB2312" w:hint="eastAsia"/>
          <w:bCs/>
          <w:sz w:val="32"/>
          <w:szCs w:val="32"/>
        </w:rPr>
        <w:t>结合本意见的相关要求，因地制宜、精准施策、分类指导，制定路线图、任务书、项目表，加强工作部署、项目推进。要进一步创新思维方式、完善工作机制、创建工作品牌，坚持往深里做、往实里做、往优里做，不断拓展工作成效。</w:t>
      </w:r>
    </w:p>
    <w:p w:rsidR="008B0C83" w:rsidRDefault="008B0C83" w:rsidP="00CA6374">
      <w:pPr>
        <w:spacing w:line="560" w:lineRule="exact"/>
        <w:ind w:firstLineChars="200" w:firstLine="31680"/>
        <w:rPr>
          <w:rFonts w:ascii="仿宋_GB2312" w:eastAsia="仿宋_GB2312"/>
          <w:bCs/>
          <w:sz w:val="32"/>
          <w:szCs w:val="32"/>
        </w:rPr>
      </w:pPr>
      <w:r>
        <w:rPr>
          <w:rFonts w:ascii="楷体" w:eastAsia="楷体" w:hAnsi="楷体" w:hint="eastAsia"/>
          <w:bCs/>
          <w:sz w:val="32"/>
          <w:szCs w:val="32"/>
        </w:rPr>
        <w:t>（三）加强宣传引导，营造浓厚氛围。</w:t>
      </w:r>
      <w:r>
        <w:rPr>
          <w:rFonts w:ascii="仿宋_GB2312" w:eastAsia="仿宋_GB2312" w:hint="eastAsia"/>
          <w:bCs/>
          <w:sz w:val="32"/>
          <w:szCs w:val="32"/>
        </w:rPr>
        <w:t>要利用电视台、广播、报纸等传统媒体以及微信、微博、短视频平台等新媒体，广泛宣传乡村振兴青春建功行动中的感人事迹和创新做法。扎实开展乡村振兴青年先锋等评选活动，在青年五四奖章、两红两优、青年创业奖等评优项目中适当向涉农领域青年典型倾斜，切实发挥榜样引领带动作用，引领更多有志青年建功乡村振兴。</w:t>
      </w:r>
    </w:p>
    <w:p w:rsidR="008B0C83" w:rsidRDefault="008B0C83">
      <w:pPr>
        <w:spacing w:line="560" w:lineRule="exact"/>
        <w:rPr>
          <w:rFonts w:ascii="仿宋_GB2312" w:eastAsia="仿宋_GB2312"/>
          <w:bCs/>
          <w:sz w:val="32"/>
          <w:szCs w:val="32"/>
        </w:rPr>
      </w:pPr>
    </w:p>
    <w:p w:rsidR="008B0C83" w:rsidRDefault="008B0C83" w:rsidP="00CA6374">
      <w:pPr>
        <w:pStyle w:val="a"/>
        <w:ind w:firstLine="31680"/>
        <w:rPr>
          <w:rFonts w:ascii="仿宋_GB2312" w:eastAsia="仿宋_GB2312"/>
          <w:bCs/>
          <w:szCs w:val="32"/>
        </w:rPr>
      </w:pPr>
    </w:p>
    <w:p w:rsidR="008B0C83" w:rsidRDefault="008B0C83" w:rsidP="00CA6374">
      <w:pPr>
        <w:pStyle w:val="a"/>
        <w:ind w:firstLine="31680"/>
        <w:rPr>
          <w:rFonts w:ascii="仿宋_GB2312" w:eastAsia="仿宋_GB2312"/>
          <w:bCs/>
          <w:szCs w:val="32"/>
        </w:rPr>
      </w:pPr>
    </w:p>
    <w:p w:rsidR="008B0C83" w:rsidRDefault="008B0C83" w:rsidP="00CA6374">
      <w:pPr>
        <w:pStyle w:val="a"/>
        <w:ind w:firstLine="31680"/>
        <w:rPr>
          <w:rFonts w:ascii="仿宋_GB2312" w:eastAsia="仿宋_GB2312"/>
          <w:bCs/>
          <w:szCs w:val="32"/>
        </w:rPr>
      </w:pPr>
    </w:p>
    <w:p w:rsidR="008B0C83" w:rsidRDefault="008B0C83" w:rsidP="00CA6374">
      <w:pPr>
        <w:pStyle w:val="a"/>
        <w:ind w:firstLine="31680"/>
        <w:rPr>
          <w:rFonts w:ascii="仿宋_GB2312" w:eastAsia="仿宋_GB2312"/>
          <w:bCs/>
          <w:szCs w:val="32"/>
        </w:rPr>
      </w:pPr>
    </w:p>
    <w:p w:rsidR="008B0C83" w:rsidRDefault="008B0C83" w:rsidP="00CA6374">
      <w:pPr>
        <w:pStyle w:val="a"/>
        <w:ind w:firstLine="31680"/>
        <w:rPr>
          <w:rFonts w:ascii="仿宋_GB2312" w:eastAsia="仿宋_GB2312"/>
          <w:bCs/>
          <w:szCs w:val="32"/>
        </w:rPr>
      </w:pPr>
    </w:p>
    <w:p w:rsidR="008B0C83" w:rsidRDefault="008B0C83" w:rsidP="00CA6374">
      <w:pPr>
        <w:pStyle w:val="a"/>
        <w:ind w:firstLine="31680"/>
        <w:rPr>
          <w:rFonts w:ascii="仿宋_GB2312" w:eastAsia="仿宋_GB2312"/>
          <w:bCs/>
          <w:szCs w:val="32"/>
        </w:rPr>
      </w:pPr>
    </w:p>
    <w:p w:rsidR="008B0C83" w:rsidRDefault="008B0C83" w:rsidP="00CA6374">
      <w:pPr>
        <w:pStyle w:val="a"/>
        <w:ind w:firstLine="31680"/>
        <w:rPr>
          <w:rFonts w:ascii="仿宋_GB2312" w:eastAsia="仿宋_GB2312"/>
          <w:bCs/>
          <w:szCs w:val="32"/>
        </w:rPr>
      </w:pPr>
    </w:p>
    <w:p w:rsidR="008B0C83" w:rsidRDefault="008B0C83" w:rsidP="00CA6374">
      <w:pPr>
        <w:pStyle w:val="a"/>
        <w:ind w:firstLine="31680"/>
        <w:rPr>
          <w:rFonts w:ascii="仿宋_GB2312" w:eastAsia="仿宋_GB2312"/>
          <w:bCs/>
          <w:szCs w:val="32"/>
        </w:rPr>
      </w:pPr>
    </w:p>
    <w:p w:rsidR="008B0C83" w:rsidRDefault="008B0C83" w:rsidP="00CA6374">
      <w:pPr>
        <w:pStyle w:val="a"/>
        <w:ind w:firstLine="31680"/>
        <w:rPr>
          <w:rFonts w:ascii="仿宋_GB2312" w:eastAsia="仿宋_GB2312"/>
          <w:bCs/>
          <w:szCs w:val="32"/>
        </w:rPr>
      </w:pPr>
    </w:p>
    <w:p w:rsidR="008B0C83" w:rsidRDefault="008B0C83" w:rsidP="00CA6374">
      <w:pPr>
        <w:pStyle w:val="a"/>
        <w:ind w:firstLine="31680"/>
        <w:rPr>
          <w:rFonts w:ascii="仿宋_GB2312" w:eastAsia="仿宋_GB2312"/>
          <w:bCs/>
          <w:szCs w:val="32"/>
        </w:rPr>
      </w:pPr>
    </w:p>
    <w:p w:rsidR="008B0C83" w:rsidRDefault="008B0C83" w:rsidP="00CA6374">
      <w:pPr>
        <w:pStyle w:val="a"/>
        <w:ind w:firstLine="31680"/>
        <w:rPr>
          <w:rFonts w:ascii="仿宋_GB2312" w:eastAsia="仿宋_GB2312"/>
          <w:bCs/>
          <w:szCs w:val="32"/>
        </w:rPr>
      </w:pPr>
    </w:p>
    <w:p w:rsidR="008B0C83" w:rsidRDefault="008B0C83" w:rsidP="00CA6374">
      <w:pPr>
        <w:pStyle w:val="a"/>
        <w:ind w:firstLine="31680"/>
        <w:rPr>
          <w:rFonts w:ascii="仿宋_GB2312" w:eastAsia="仿宋_GB2312"/>
          <w:bCs/>
          <w:szCs w:val="32"/>
        </w:rPr>
      </w:pPr>
    </w:p>
    <w:p w:rsidR="008B0C83" w:rsidRDefault="008B0C83" w:rsidP="00CA6374">
      <w:pPr>
        <w:pStyle w:val="a"/>
        <w:ind w:firstLine="31680"/>
        <w:rPr>
          <w:rFonts w:ascii="仿宋_GB2312" w:eastAsia="仿宋_GB2312"/>
          <w:bCs/>
          <w:szCs w:val="32"/>
        </w:rPr>
      </w:pPr>
    </w:p>
    <w:p w:rsidR="008B0C83" w:rsidRDefault="008B0C83" w:rsidP="00EF4C8C">
      <w:pPr>
        <w:pStyle w:val="a"/>
        <w:pBdr>
          <w:top w:val="single" w:sz="4" w:space="0" w:color="auto"/>
          <w:bottom w:val="single" w:sz="4" w:space="0" w:color="auto"/>
        </w:pBdr>
        <w:ind w:firstLineChars="100" w:firstLine="31680"/>
        <w:rPr>
          <w:rFonts w:ascii="仿宋_GB2312" w:eastAsia="仿宋_GB2312"/>
          <w:bCs/>
          <w:szCs w:val="32"/>
        </w:rPr>
      </w:pPr>
      <w:r>
        <w:rPr>
          <w:rFonts w:ascii="Times New Roman" w:eastAsia="仿宋_GB2312" w:hAnsi="Times New Roman" w:hint="eastAsia"/>
          <w:bCs/>
          <w:sz w:val="28"/>
          <w:szCs w:val="28"/>
          <w:bdr w:val="none" w:sz="4" w:space="0" w:color="auto"/>
        </w:rPr>
        <w:t>共青团四川省委办公室</w:t>
      </w:r>
      <w:r>
        <w:rPr>
          <w:rFonts w:ascii="Times New Roman" w:eastAsia="仿宋_GB2312" w:hAnsi="Times New Roman"/>
          <w:bCs/>
          <w:sz w:val="28"/>
          <w:szCs w:val="28"/>
          <w:bdr w:val="none" w:sz="4" w:space="0" w:color="auto"/>
        </w:rPr>
        <w:t xml:space="preserve">                    2021</w:t>
      </w:r>
      <w:r>
        <w:rPr>
          <w:rFonts w:ascii="Times New Roman" w:eastAsia="仿宋_GB2312" w:hAnsi="Times New Roman" w:hint="eastAsia"/>
          <w:bCs/>
          <w:sz w:val="28"/>
          <w:szCs w:val="28"/>
          <w:bdr w:val="none" w:sz="4" w:space="0" w:color="auto"/>
        </w:rPr>
        <w:t>年</w:t>
      </w:r>
      <w:r>
        <w:rPr>
          <w:rFonts w:ascii="Times New Roman" w:eastAsia="仿宋_GB2312" w:hAnsi="Times New Roman"/>
          <w:bCs/>
          <w:sz w:val="28"/>
          <w:szCs w:val="28"/>
          <w:bdr w:val="none" w:sz="4" w:space="0" w:color="auto"/>
        </w:rPr>
        <w:t>8</w:t>
      </w:r>
      <w:r>
        <w:rPr>
          <w:rFonts w:ascii="Times New Roman" w:eastAsia="仿宋_GB2312" w:hAnsi="Times New Roman" w:hint="eastAsia"/>
          <w:bCs/>
          <w:sz w:val="28"/>
          <w:szCs w:val="28"/>
          <w:bdr w:val="none" w:sz="4" w:space="0" w:color="auto"/>
        </w:rPr>
        <w:t>月</w:t>
      </w:r>
      <w:r>
        <w:rPr>
          <w:rFonts w:ascii="Times New Roman" w:eastAsia="仿宋_GB2312" w:hAnsi="Times New Roman"/>
          <w:bCs/>
          <w:sz w:val="28"/>
          <w:szCs w:val="28"/>
          <w:bdr w:val="none" w:sz="4" w:space="0" w:color="auto"/>
        </w:rPr>
        <w:t>27</w:t>
      </w:r>
      <w:r>
        <w:rPr>
          <w:rFonts w:ascii="Times New Roman" w:eastAsia="仿宋_GB2312" w:hAnsi="Times New Roman" w:hint="eastAsia"/>
          <w:bCs/>
          <w:sz w:val="28"/>
          <w:szCs w:val="28"/>
          <w:bdr w:val="none" w:sz="4" w:space="0" w:color="auto"/>
        </w:rPr>
        <w:t>日印发</w:t>
      </w:r>
      <w:bookmarkEnd w:id="0"/>
    </w:p>
    <w:sectPr w:rsidR="008B0C83" w:rsidSect="007A4F2D">
      <w:footerReference w:type="default" r:id="rId6"/>
      <w:pgSz w:w="11906" w:h="16838"/>
      <w:pgMar w:top="2098" w:right="1531" w:bottom="1984" w:left="1531" w:header="851" w:footer="1417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0C83" w:rsidRDefault="008B0C83" w:rsidP="007A4F2D">
      <w:r>
        <w:separator/>
      </w:r>
    </w:p>
  </w:endnote>
  <w:endnote w:type="continuationSeparator" w:id="1">
    <w:p w:rsidR="008B0C83" w:rsidRDefault="008B0C83" w:rsidP="007A4F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ingLiUfalt"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仿宋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C83" w:rsidRDefault="008B0C83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4pt;margin-top:0;width:2in;height:2in;z-index:251660288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 filled="f" stroked="f" strokeweight=".5pt">
          <v:textbox style="mso-fit-shape-to-text:t" inset="0,0,0,0">
            <w:txbxContent>
              <w:p w:rsidR="008B0C83" w:rsidRDefault="008B0C83">
                <w:pPr>
                  <w:pStyle w:val="Footer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t>—</w:t>
                </w:r>
                <w:r w:rsidRPr="002B2712">
                  <w:rPr>
                    <w:rFonts w:ascii="Times New Roman" w:hAnsi="Times New Roman"/>
                    <w:color w:val="FFFFFF"/>
                    <w:sz w:val="24"/>
                    <w:szCs w:val="24"/>
                  </w:rPr>
                  <w:t>—</w:t>
                </w:r>
                <w:r>
                  <w:rPr>
                    <w:rFonts w:ascii="Times New Roman" w:hAnsi="Times New Roman"/>
                    <w:sz w:val="24"/>
                    <w:szCs w:val="24"/>
                  </w:rPr>
                  <w:fldChar w:fldCharType="begin"/>
                </w:r>
                <w:r>
                  <w:rPr>
                    <w:rFonts w:ascii="Times New Roman" w:hAnsi="Times New Roman"/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rFonts w:ascii="Times New Roman" w:hAnsi="Times New Roman"/>
                    <w:sz w:val="24"/>
                    <w:szCs w:val="24"/>
                  </w:rPr>
                  <w:fldChar w:fldCharType="separate"/>
                </w:r>
                <w:r>
                  <w:rPr>
                    <w:rFonts w:ascii="Times New Roman" w:hAnsi="Times New Roman"/>
                    <w:noProof/>
                    <w:sz w:val="24"/>
                    <w:szCs w:val="24"/>
                  </w:rPr>
                  <w:t>7</w:t>
                </w:r>
                <w:r>
                  <w:rPr>
                    <w:rFonts w:ascii="Times New Roman" w:hAnsi="Times New Roman"/>
                    <w:sz w:val="24"/>
                    <w:szCs w:val="24"/>
                  </w:rPr>
                  <w:fldChar w:fldCharType="end"/>
                </w:r>
                <w:r w:rsidRPr="002B2712">
                  <w:rPr>
                    <w:rFonts w:ascii="Times New Roman" w:hAnsi="Times New Roman"/>
                    <w:color w:val="FFFFFF"/>
                    <w:sz w:val="24"/>
                    <w:szCs w:val="24"/>
                  </w:rPr>
                  <w:t>—</w:t>
                </w:r>
                <w:r>
                  <w:rPr>
                    <w:rFonts w:ascii="Times New Roman" w:hAnsi="Times New Roman"/>
                    <w:sz w:val="24"/>
                    <w:szCs w:val="24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0C83" w:rsidRDefault="008B0C83" w:rsidP="007A4F2D">
      <w:r>
        <w:separator/>
      </w:r>
    </w:p>
  </w:footnote>
  <w:footnote w:type="continuationSeparator" w:id="1">
    <w:p w:rsidR="008B0C83" w:rsidRDefault="008B0C83" w:rsidP="007A4F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7557"/>
    <w:rsid w:val="85FEF9BC"/>
    <w:rsid w:val="BBE5D1C6"/>
    <w:rsid w:val="BC4573FD"/>
    <w:rsid w:val="F3AF53A6"/>
    <w:rsid w:val="F5EF3546"/>
    <w:rsid w:val="FBD58D08"/>
    <w:rsid w:val="FD33CDF5"/>
    <w:rsid w:val="00044290"/>
    <w:rsid w:val="000529C2"/>
    <w:rsid w:val="0006515C"/>
    <w:rsid w:val="00070217"/>
    <w:rsid w:val="000C6F03"/>
    <w:rsid w:val="0010184C"/>
    <w:rsid w:val="00115C89"/>
    <w:rsid w:val="00126667"/>
    <w:rsid w:val="00144FB2"/>
    <w:rsid w:val="001641B9"/>
    <w:rsid w:val="00177CA2"/>
    <w:rsid w:val="001A39E0"/>
    <w:rsid w:val="001E28F2"/>
    <w:rsid w:val="001E749B"/>
    <w:rsid w:val="001F6B0F"/>
    <w:rsid w:val="00257F92"/>
    <w:rsid w:val="002B2712"/>
    <w:rsid w:val="002C61DD"/>
    <w:rsid w:val="002F16DD"/>
    <w:rsid w:val="003203E7"/>
    <w:rsid w:val="00326FBB"/>
    <w:rsid w:val="003437C1"/>
    <w:rsid w:val="00355BEC"/>
    <w:rsid w:val="003601D7"/>
    <w:rsid w:val="003942EA"/>
    <w:rsid w:val="003A6712"/>
    <w:rsid w:val="003B3BD7"/>
    <w:rsid w:val="003B4960"/>
    <w:rsid w:val="003C0F54"/>
    <w:rsid w:val="003D4F57"/>
    <w:rsid w:val="00473F15"/>
    <w:rsid w:val="0050074B"/>
    <w:rsid w:val="00515357"/>
    <w:rsid w:val="00535520"/>
    <w:rsid w:val="00547E78"/>
    <w:rsid w:val="0058744E"/>
    <w:rsid w:val="005A603F"/>
    <w:rsid w:val="005E0D79"/>
    <w:rsid w:val="005E484C"/>
    <w:rsid w:val="006021B8"/>
    <w:rsid w:val="0064006E"/>
    <w:rsid w:val="00643B93"/>
    <w:rsid w:val="00650EA4"/>
    <w:rsid w:val="00697CB9"/>
    <w:rsid w:val="006C05DB"/>
    <w:rsid w:val="006D1DCE"/>
    <w:rsid w:val="00723869"/>
    <w:rsid w:val="007335D9"/>
    <w:rsid w:val="00737557"/>
    <w:rsid w:val="0074120C"/>
    <w:rsid w:val="00745BC1"/>
    <w:rsid w:val="00747164"/>
    <w:rsid w:val="00772429"/>
    <w:rsid w:val="007944BB"/>
    <w:rsid w:val="0079547E"/>
    <w:rsid w:val="007A4F2D"/>
    <w:rsid w:val="007D6CAA"/>
    <w:rsid w:val="00824275"/>
    <w:rsid w:val="00845D74"/>
    <w:rsid w:val="00896F7D"/>
    <w:rsid w:val="008B0C83"/>
    <w:rsid w:val="008F0121"/>
    <w:rsid w:val="009125B0"/>
    <w:rsid w:val="00974787"/>
    <w:rsid w:val="00975162"/>
    <w:rsid w:val="009871EF"/>
    <w:rsid w:val="00993A29"/>
    <w:rsid w:val="009C4A6C"/>
    <w:rsid w:val="009D4612"/>
    <w:rsid w:val="00A55C3B"/>
    <w:rsid w:val="00A74F9A"/>
    <w:rsid w:val="00AA7019"/>
    <w:rsid w:val="00AD420E"/>
    <w:rsid w:val="00AD5811"/>
    <w:rsid w:val="00AE1EAA"/>
    <w:rsid w:val="00B03AA7"/>
    <w:rsid w:val="00B06FDD"/>
    <w:rsid w:val="00B1122F"/>
    <w:rsid w:val="00B150CD"/>
    <w:rsid w:val="00B429EF"/>
    <w:rsid w:val="00B52F0F"/>
    <w:rsid w:val="00BC239E"/>
    <w:rsid w:val="00BC3B39"/>
    <w:rsid w:val="00C33A09"/>
    <w:rsid w:val="00C416E7"/>
    <w:rsid w:val="00CA6374"/>
    <w:rsid w:val="00CA74DE"/>
    <w:rsid w:val="00D00346"/>
    <w:rsid w:val="00D93D67"/>
    <w:rsid w:val="00DA0E62"/>
    <w:rsid w:val="00DF140E"/>
    <w:rsid w:val="00E06BAA"/>
    <w:rsid w:val="00E17BE2"/>
    <w:rsid w:val="00E20AE6"/>
    <w:rsid w:val="00E2440A"/>
    <w:rsid w:val="00E32BCA"/>
    <w:rsid w:val="00E576B8"/>
    <w:rsid w:val="00E901F9"/>
    <w:rsid w:val="00E917DA"/>
    <w:rsid w:val="00EE6A4A"/>
    <w:rsid w:val="00EF0CC4"/>
    <w:rsid w:val="00EF4C8C"/>
    <w:rsid w:val="00F15CAC"/>
    <w:rsid w:val="00F445DC"/>
    <w:rsid w:val="00F554F7"/>
    <w:rsid w:val="00FB466A"/>
    <w:rsid w:val="00FE798B"/>
    <w:rsid w:val="014067AC"/>
    <w:rsid w:val="032B2F6E"/>
    <w:rsid w:val="06D13263"/>
    <w:rsid w:val="086B6C1D"/>
    <w:rsid w:val="0B240100"/>
    <w:rsid w:val="10A06D80"/>
    <w:rsid w:val="13CB552D"/>
    <w:rsid w:val="16772C66"/>
    <w:rsid w:val="17AB72AB"/>
    <w:rsid w:val="17FB2B90"/>
    <w:rsid w:val="18C003C7"/>
    <w:rsid w:val="1D8E306F"/>
    <w:rsid w:val="21EE51D5"/>
    <w:rsid w:val="21EE66B5"/>
    <w:rsid w:val="26B6607B"/>
    <w:rsid w:val="28A30D00"/>
    <w:rsid w:val="2BD22E95"/>
    <w:rsid w:val="2D830353"/>
    <w:rsid w:val="32CE5DC2"/>
    <w:rsid w:val="33317545"/>
    <w:rsid w:val="33E01793"/>
    <w:rsid w:val="34393104"/>
    <w:rsid w:val="35FA25BC"/>
    <w:rsid w:val="37AA0BB2"/>
    <w:rsid w:val="3851276B"/>
    <w:rsid w:val="38D71F96"/>
    <w:rsid w:val="39286C27"/>
    <w:rsid w:val="39C428D8"/>
    <w:rsid w:val="3C170D10"/>
    <w:rsid w:val="3D2B3E2F"/>
    <w:rsid w:val="3D480472"/>
    <w:rsid w:val="3D5137C6"/>
    <w:rsid w:val="3F762807"/>
    <w:rsid w:val="416748D1"/>
    <w:rsid w:val="4282777F"/>
    <w:rsid w:val="45287312"/>
    <w:rsid w:val="45731AAB"/>
    <w:rsid w:val="45AF2456"/>
    <w:rsid w:val="480834E6"/>
    <w:rsid w:val="495334FF"/>
    <w:rsid w:val="4CEA5BE8"/>
    <w:rsid w:val="4CEC6C50"/>
    <w:rsid w:val="4E9A5470"/>
    <w:rsid w:val="51177071"/>
    <w:rsid w:val="51C16996"/>
    <w:rsid w:val="54F208C8"/>
    <w:rsid w:val="574D0D34"/>
    <w:rsid w:val="59AA781E"/>
    <w:rsid w:val="5C654545"/>
    <w:rsid w:val="5EB71156"/>
    <w:rsid w:val="5FE750F0"/>
    <w:rsid w:val="60691011"/>
    <w:rsid w:val="617F7418"/>
    <w:rsid w:val="61F15F99"/>
    <w:rsid w:val="627749CB"/>
    <w:rsid w:val="65207648"/>
    <w:rsid w:val="693EF6B7"/>
    <w:rsid w:val="69780A07"/>
    <w:rsid w:val="6BB10045"/>
    <w:rsid w:val="6C64262C"/>
    <w:rsid w:val="6C9A4544"/>
    <w:rsid w:val="6CE270F1"/>
    <w:rsid w:val="6CE75E98"/>
    <w:rsid w:val="6D9E3DB3"/>
    <w:rsid w:val="6E617B0E"/>
    <w:rsid w:val="6F9E544B"/>
    <w:rsid w:val="7124182B"/>
    <w:rsid w:val="74457E01"/>
    <w:rsid w:val="74AD2F1C"/>
    <w:rsid w:val="77C16AD6"/>
    <w:rsid w:val="78E90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next w:val="a"/>
    <w:qFormat/>
    <w:rsid w:val="007A4F2D"/>
    <w:pPr>
      <w:widowControl w:val="0"/>
      <w:jc w:val="both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常用样式（方正仿宋简）"/>
    <w:basedOn w:val="Normal"/>
    <w:uiPriority w:val="99"/>
    <w:rsid w:val="007A4F2D"/>
    <w:pPr>
      <w:spacing w:line="560" w:lineRule="exact"/>
      <w:ind w:firstLineChars="200" w:firstLine="200"/>
    </w:pPr>
    <w:rPr>
      <w:rFonts w:eastAsia="方正仿宋简体"/>
      <w:sz w:val="32"/>
    </w:rPr>
  </w:style>
  <w:style w:type="paragraph" w:styleId="CommentText">
    <w:name w:val="annotation text"/>
    <w:basedOn w:val="Normal"/>
    <w:link w:val="CommentTextChar"/>
    <w:uiPriority w:val="99"/>
    <w:semiHidden/>
    <w:rsid w:val="007A4F2D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A4F2D"/>
    <w:rPr>
      <w:rFonts w:ascii="Calibri" w:eastAsia="宋体" w:hAnsi="Calibri" w:cs="Times New Roman"/>
      <w:kern w:val="2"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7A4F2D"/>
    <w:rPr>
      <w:rFonts w:ascii="宋体" w:hAnsi="宋体" w:cs="宋体"/>
      <w:sz w:val="29"/>
      <w:szCs w:val="29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A4F2D"/>
    <w:rPr>
      <w:rFonts w:ascii="宋体" w:eastAsia="宋体" w:cs="宋体"/>
      <w:kern w:val="2"/>
      <w:sz w:val="29"/>
      <w:szCs w:val="29"/>
    </w:rPr>
  </w:style>
  <w:style w:type="paragraph" w:styleId="BalloonText">
    <w:name w:val="Balloon Text"/>
    <w:basedOn w:val="Normal"/>
    <w:link w:val="BalloonTextChar"/>
    <w:uiPriority w:val="99"/>
    <w:semiHidden/>
    <w:rsid w:val="007A4F2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4F2D"/>
    <w:rPr>
      <w:rFonts w:ascii="Calibri" w:eastAsia="宋体" w:hAnsi="Calibri"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7A4F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A4F2D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7A4F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A4F2D"/>
    <w:rPr>
      <w:rFonts w:cs="Times New Roman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rsid w:val="007A4F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B1CD8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7A4F2D"/>
    <w:pPr>
      <w:spacing w:beforeAutospacing="1" w:afterAutospacing="1"/>
      <w:jc w:val="left"/>
    </w:pPr>
    <w:rPr>
      <w:kern w:val="0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A4F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A4F2D"/>
    <w:rPr>
      <w:b/>
      <w:bCs/>
    </w:rPr>
  </w:style>
  <w:style w:type="character" w:styleId="CommentReference">
    <w:name w:val="annotation reference"/>
    <w:basedOn w:val="DefaultParagraphFont"/>
    <w:uiPriority w:val="99"/>
    <w:semiHidden/>
    <w:rsid w:val="007A4F2D"/>
    <w:rPr>
      <w:rFonts w:cs="Times New Roman"/>
      <w:sz w:val="21"/>
      <w:szCs w:val="21"/>
    </w:rPr>
  </w:style>
  <w:style w:type="paragraph" w:customStyle="1" w:styleId="1">
    <w:name w:val="正文文本1"/>
    <w:basedOn w:val="Normal"/>
    <w:uiPriority w:val="99"/>
    <w:rsid w:val="007A4F2D"/>
    <w:pPr>
      <w:shd w:val="clear" w:color="auto" w:fill="FFFFFF"/>
      <w:spacing w:before="960" w:after="1380" w:line="240" w:lineRule="atLeast"/>
      <w:jc w:val="center"/>
    </w:pPr>
    <w:rPr>
      <w:rFonts w:ascii="MingLiUfalt" w:eastAsia="MingLiUfalt" w:hAnsi="MingLiUfalt" w:cs="MingLiUfalt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7</Pages>
  <Words>1772</Words>
  <Characters>1772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川青发〔2021〕6号</dc:title>
  <dc:subject/>
  <dc:creator>Administrator</dc:creator>
  <cp:keywords/>
  <dc:description/>
  <cp:lastModifiedBy>admin</cp:lastModifiedBy>
  <cp:revision>4</cp:revision>
  <cp:lastPrinted>2021-08-27T11:32:00Z</cp:lastPrinted>
  <dcterms:created xsi:type="dcterms:W3CDTF">2021-08-30T07:43:00Z</dcterms:created>
  <dcterms:modified xsi:type="dcterms:W3CDTF">2021-08-30T07:45:00Z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3145D206B6FF45F19B99BD3970E73B6E</vt:lpwstr>
  </property>
</Properties>
</file>